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630" w:leftChars="300"/>
        <w:jc w:val="center"/>
        <w:textAlignment w:val="auto"/>
        <w:rPr>
          <w:rFonts w:hint="default"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30" w:leftChars="300"/>
        <w:jc w:val="center"/>
        <w:textAlignment w:val="auto"/>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rPr>
        <w:t>临汾市城市绿化管理</w:t>
      </w:r>
      <w:r>
        <w:rPr>
          <w:rFonts w:hint="eastAsia" w:ascii="宋体" w:hAnsi="宋体" w:eastAsia="宋体" w:cs="宋体"/>
          <w:b/>
          <w:bCs/>
          <w:sz w:val="44"/>
          <w:szCs w:val="44"/>
          <w:highlight w:val="none"/>
          <w:lang w:val="en-US" w:eastAsia="zh-CN"/>
        </w:rPr>
        <w:t>办法</w:t>
      </w:r>
      <w:r>
        <w:rPr>
          <w:rFonts w:hint="eastAsia" w:ascii="宋体" w:hAnsi="宋体" w:eastAsia="宋体" w:cs="宋体"/>
          <w:b/>
          <w:bCs/>
          <w:sz w:val="44"/>
          <w:szCs w:val="44"/>
          <w:highlight w:val="none"/>
          <w:lang w:eastAsia="zh-CN"/>
        </w:rPr>
        <w:t>（</w:t>
      </w:r>
      <w:r>
        <w:rPr>
          <w:rFonts w:hint="eastAsia" w:ascii="宋体" w:hAnsi="宋体" w:eastAsia="宋体" w:cs="宋体"/>
          <w:b/>
          <w:bCs/>
          <w:sz w:val="44"/>
          <w:szCs w:val="44"/>
          <w:highlight w:val="none"/>
          <w:lang w:val="en-US" w:eastAsia="zh-CN"/>
        </w:rPr>
        <w:t>草案</w:t>
      </w:r>
      <w:r>
        <w:rPr>
          <w:rFonts w:hint="eastAsia" w:ascii="宋体" w:hAnsi="宋体" w:eastAsia="宋体" w:cs="宋体"/>
          <w:b/>
          <w:bCs/>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630" w:leftChars="300"/>
        <w:jc w:val="center"/>
        <w:textAlignment w:val="auto"/>
        <w:rPr>
          <w:rFonts w:hint="eastAsia" w:ascii="宋体" w:hAnsi="宋体" w:eastAsia="宋体" w:cs="宋体"/>
          <w:b/>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630" w:leftChars="3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left="630" w:leftChars="3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630" w:leftChars="3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规划和建设</w:t>
      </w:r>
    </w:p>
    <w:p>
      <w:pPr>
        <w:keepNext w:val="0"/>
        <w:keepLines w:val="0"/>
        <w:pageBreakBefore w:val="0"/>
        <w:widowControl w:val="0"/>
        <w:kinsoku/>
        <w:wordWrap/>
        <w:overflowPunct/>
        <w:topLinePunct w:val="0"/>
        <w:autoSpaceDE/>
        <w:autoSpaceDN/>
        <w:bidi w:val="0"/>
        <w:adjustRightInd/>
        <w:snapToGrid/>
        <w:spacing w:line="600" w:lineRule="exact"/>
        <w:ind w:left="630" w:leftChars="3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保护和管理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黑体" w:cs="仿宋"/>
          <w:sz w:val="32"/>
          <w:szCs w:val="32"/>
          <w:highlight w:val="none"/>
          <w:lang w:val="en-US" w:eastAsia="zh-CN"/>
        </w:rPr>
      </w:pPr>
      <w:r>
        <w:rPr>
          <w:rFonts w:hint="eastAsia" w:ascii="黑体" w:hAnsi="黑体" w:eastAsia="黑体" w:cs="黑体"/>
          <w:sz w:val="32"/>
          <w:szCs w:val="32"/>
          <w:highlight w:val="none"/>
        </w:rPr>
        <w:t>第四章  </w:t>
      </w:r>
      <w:r>
        <w:rPr>
          <w:rFonts w:hint="eastAsia" w:ascii="黑体" w:hAnsi="黑体" w:eastAsia="黑体" w:cs="黑体"/>
          <w:sz w:val="32"/>
          <w:szCs w:val="32"/>
          <w:highlight w:val="none"/>
          <w:lang w:val="en-US" w:eastAsia="zh-CN"/>
        </w:rPr>
        <w:t>附 则</w:t>
      </w:r>
    </w:p>
    <w:p>
      <w:pPr>
        <w:keepNext w:val="0"/>
        <w:keepLines w:val="0"/>
        <w:pageBreakBefore w:val="0"/>
        <w:widowControl w:val="0"/>
        <w:kinsoku/>
        <w:wordWrap/>
        <w:overflowPunct/>
        <w:topLinePunct w:val="0"/>
        <w:autoSpaceDE/>
        <w:autoSpaceDN/>
        <w:bidi w:val="0"/>
        <w:adjustRightInd/>
        <w:snapToGrid/>
        <w:spacing w:line="600" w:lineRule="exact"/>
        <w:ind w:left="630" w:leftChars="300"/>
        <w:jc w:val="left"/>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630" w:leftChars="30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第一条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为了</w:t>
      </w:r>
      <w:r>
        <w:rPr>
          <w:rFonts w:hint="eastAsia" w:ascii="仿宋" w:hAnsi="仿宋" w:eastAsia="仿宋" w:cs="仿宋"/>
          <w:sz w:val="32"/>
          <w:szCs w:val="32"/>
          <w:highlight w:val="none"/>
          <w:lang w:val="en-US" w:eastAsia="zh-CN"/>
        </w:rPr>
        <w:t>促进</w:t>
      </w:r>
      <w:r>
        <w:rPr>
          <w:rFonts w:hint="eastAsia" w:ascii="仿宋" w:hAnsi="仿宋" w:eastAsia="仿宋" w:cs="仿宋"/>
          <w:sz w:val="32"/>
          <w:szCs w:val="32"/>
          <w:highlight w:val="none"/>
        </w:rPr>
        <w:t>城市绿化事业</w:t>
      </w:r>
      <w:r>
        <w:rPr>
          <w:rFonts w:hint="eastAsia" w:ascii="仿宋" w:hAnsi="仿宋" w:eastAsia="仿宋" w:cs="仿宋"/>
          <w:sz w:val="32"/>
          <w:szCs w:val="32"/>
          <w:highlight w:val="none"/>
          <w:lang w:val="en-US" w:eastAsia="zh-CN"/>
        </w:rPr>
        <w:t>可持续发展</w:t>
      </w:r>
      <w:r>
        <w:rPr>
          <w:rFonts w:hint="eastAsia" w:ascii="仿宋" w:hAnsi="仿宋" w:eastAsia="仿宋" w:cs="仿宋"/>
          <w:sz w:val="32"/>
          <w:szCs w:val="32"/>
          <w:highlight w:val="none"/>
        </w:rPr>
        <w:t>，保护和改善</w:t>
      </w:r>
      <w:r>
        <w:rPr>
          <w:rFonts w:hint="eastAsia" w:ascii="仿宋" w:hAnsi="仿宋" w:eastAsia="仿宋" w:cs="仿宋"/>
          <w:sz w:val="32"/>
          <w:szCs w:val="32"/>
          <w:highlight w:val="none"/>
          <w:lang w:eastAsia="zh-CN"/>
        </w:rPr>
        <w:t>城市</w:t>
      </w:r>
      <w:r>
        <w:rPr>
          <w:rFonts w:hint="eastAsia" w:ascii="仿宋" w:hAnsi="仿宋" w:eastAsia="仿宋" w:cs="仿宋"/>
          <w:sz w:val="32"/>
          <w:szCs w:val="32"/>
          <w:highlight w:val="none"/>
        </w:rPr>
        <w:t>生态环境，建设优美、宜居</w:t>
      </w:r>
      <w:r>
        <w:rPr>
          <w:rFonts w:hint="eastAsia" w:ascii="仿宋" w:hAnsi="仿宋" w:eastAsia="仿宋" w:cs="仿宋"/>
          <w:sz w:val="32"/>
          <w:szCs w:val="32"/>
          <w:highlight w:val="none"/>
          <w:lang w:eastAsia="zh-CN"/>
        </w:rPr>
        <w:t>、健康</w:t>
      </w:r>
      <w:r>
        <w:rPr>
          <w:rFonts w:hint="eastAsia" w:ascii="仿宋" w:hAnsi="仿宋" w:eastAsia="仿宋" w:cs="仿宋"/>
          <w:sz w:val="32"/>
          <w:szCs w:val="32"/>
          <w:highlight w:val="none"/>
          <w:lang w:val="en-US" w:eastAsia="zh-CN"/>
        </w:rPr>
        <w:t>、韧性</w:t>
      </w:r>
      <w:r>
        <w:rPr>
          <w:rFonts w:hint="eastAsia" w:ascii="仿宋" w:hAnsi="仿宋" w:eastAsia="仿宋" w:cs="仿宋"/>
          <w:sz w:val="32"/>
          <w:szCs w:val="32"/>
          <w:highlight w:val="none"/>
        </w:rPr>
        <w:t>的现代化城市，推进高质量发展，增强</w:t>
      </w:r>
      <w:r>
        <w:rPr>
          <w:rFonts w:hint="eastAsia" w:ascii="仿宋" w:hAnsi="仿宋" w:eastAsia="仿宋" w:cs="仿宋"/>
          <w:sz w:val="32"/>
          <w:szCs w:val="32"/>
          <w:highlight w:val="none"/>
          <w:lang w:val="en-US" w:eastAsia="zh-CN"/>
        </w:rPr>
        <w:t>临汾</w:t>
      </w:r>
      <w:r>
        <w:rPr>
          <w:rFonts w:hint="eastAsia" w:ascii="仿宋" w:hAnsi="仿宋" w:eastAsia="仿宋" w:cs="仿宋"/>
          <w:sz w:val="32"/>
          <w:szCs w:val="32"/>
          <w:highlight w:val="none"/>
        </w:rPr>
        <w:t>的吸引力、影响力，促进生态文明建设，根据</w:t>
      </w:r>
      <w:r>
        <w:rPr>
          <w:rFonts w:hint="eastAsia" w:ascii="仿宋" w:hAnsi="仿宋" w:eastAsia="仿宋" w:cs="仿宋"/>
          <w:sz w:val="32"/>
          <w:szCs w:val="32"/>
          <w:highlight w:val="none"/>
          <w:lang w:eastAsia="zh-CN"/>
        </w:rPr>
        <w:t>《城市绿化条例》、《山西省城市绿化实施办法》等</w:t>
      </w:r>
      <w:r>
        <w:rPr>
          <w:rFonts w:hint="eastAsia" w:ascii="仿宋" w:hAnsi="仿宋" w:eastAsia="仿宋" w:cs="仿宋"/>
          <w:sz w:val="32"/>
          <w:szCs w:val="32"/>
          <w:highlight w:val="none"/>
        </w:rPr>
        <w:t>有关法律法规的规定，结合本市实际，制定本</w:t>
      </w:r>
      <w:r>
        <w:rPr>
          <w:rFonts w:hint="eastAsia" w:ascii="仿宋" w:hAnsi="仿宋" w:eastAsia="仿宋" w:cs="仿宋"/>
          <w:sz w:val="32"/>
          <w:szCs w:val="32"/>
          <w:highlight w:val="none"/>
          <w:lang w:val="en-US" w:eastAsia="zh-CN"/>
        </w:rPr>
        <w:t>办法</w:t>
      </w:r>
      <w:r>
        <w:rPr>
          <w:rFonts w:hint="eastAsia" w:ascii="仿宋" w:hAnsi="仿宋" w:eastAsia="仿宋" w:cs="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第二条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本</w:t>
      </w:r>
      <w:r>
        <w:rPr>
          <w:rFonts w:hint="eastAsia" w:ascii="仿宋" w:hAnsi="仿宋" w:eastAsia="仿宋" w:cs="仿宋"/>
          <w:sz w:val="32"/>
          <w:szCs w:val="32"/>
          <w:highlight w:val="none"/>
          <w:lang w:val="en-US" w:eastAsia="zh-CN"/>
        </w:rPr>
        <w:t>办法</w:t>
      </w:r>
      <w:r>
        <w:rPr>
          <w:rFonts w:hint="eastAsia" w:ascii="仿宋" w:hAnsi="仿宋" w:eastAsia="仿宋" w:cs="仿宋"/>
          <w:sz w:val="32"/>
          <w:szCs w:val="32"/>
          <w:highlight w:val="none"/>
        </w:rPr>
        <w:t xml:space="preserve">适用于本市城市规划区内城市绿化的规划、建设、保护和管理等活动。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第三条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各级</w:t>
      </w:r>
      <w:r>
        <w:rPr>
          <w:rFonts w:hint="eastAsia" w:ascii="仿宋" w:hAnsi="仿宋" w:eastAsia="仿宋" w:cs="仿宋"/>
          <w:sz w:val="32"/>
          <w:szCs w:val="32"/>
          <w:highlight w:val="none"/>
        </w:rPr>
        <w:t xml:space="preserve">人民政府应当把城市绿化建设作为城市基础设施和生态环境建设的组成部分，纳入国民经济和社会发展规划，保障城市绿化建设和管理所需经费。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第四条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城市绿化应当遵循治山、治水、治气、治城一体推进理念，坚持以人为本、生态优先、政府主导、社会参与；坚持绿化、美化与彩化相协调，生态、景观与文化相统一；坚持科学规划、因地制宜、建管并重、严格保护的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第五条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城市绿化应当保护和利用原有山体、湿地、古树名木以及历史文化遗址等自然、人文资源，形成具有</w:t>
      </w:r>
      <w:r>
        <w:rPr>
          <w:rFonts w:hint="eastAsia" w:ascii="仿宋" w:hAnsi="仿宋" w:eastAsia="仿宋" w:cs="仿宋"/>
          <w:sz w:val="32"/>
          <w:szCs w:val="32"/>
          <w:highlight w:val="none"/>
          <w:lang w:val="en-US" w:eastAsia="zh-CN"/>
        </w:rPr>
        <w:t>临汾</w:t>
      </w:r>
      <w:r>
        <w:rPr>
          <w:rFonts w:hint="eastAsia" w:ascii="仿宋" w:hAnsi="仿宋" w:eastAsia="仿宋" w:cs="仿宋"/>
          <w:sz w:val="32"/>
          <w:szCs w:val="32"/>
          <w:highlight w:val="none"/>
        </w:rPr>
        <w:t xml:space="preserve">历史文化特色的生态园林。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城市绿化应当科学配置植物，坚持平面绿化和立体绿化相结合，逐步建成总量适宜、分布合理、植物多样、美观宜人、生态良好的城市绿地系统。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第六条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市人民政府城市绿化主管部门负责全市城市绿化工作的组织、监督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检查、指导和协调。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县（市、区）人民政府城市绿化主管部门负责本行政区域内的城市绿化工作。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乡（镇）人民政府、街道办事处负责本辖区内的城市绿化工作，并指导协调驻地单位完成社区和单位内部的绿化任务。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政府有关部门依照各自职责做好城市绿化的有关工作。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第七条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政府鼓励绿化科学研究和成果转化，推广先进技术和材料，加强生物多样性保护。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第八条</w:t>
      </w:r>
      <w:r>
        <w:rPr>
          <w:rFonts w:hint="eastAsia" w:ascii="楷体" w:hAnsi="楷体" w:eastAsia="楷体" w:cs="楷体"/>
          <w:sz w:val="32"/>
          <w:szCs w:val="32"/>
          <w:highlight w:val="none"/>
          <w:lang w:val="en-US" w:eastAsia="zh-CN"/>
        </w:rPr>
        <w:t xml:space="preserve"> </w:t>
      </w:r>
      <w:r>
        <w:rPr>
          <w:rFonts w:hint="eastAsia" w:ascii="仿宋" w:hAnsi="仿宋" w:eastAsia="仿宋" w:cs="仿宋"/>
          <w:sz w:val="32"/>
          <w:szCs w:val="32"/>
          <w:highlight w:val="none"/>
        </w:rPr>
        <w:t>  </w:t>
      </w:r>
      <w:r>
        <w:rPr>
          <w:rFonts w:hint="eastAsia" w:ascii="仿宋" w:hAnsi="仿宋" w:eastAsia="仿宋" w:cs="仿宋"/>
          <w:sz w:val="32"/>
          <w:szCs w:val="32"/>
          <w:highlight w:val="none"/>
          <w:lang w:eastAsia="zh-CN"/>
        </w:rPr>
        <w:t>各级</w:t>
      </w:r>
      <w:r>
        <w:rPr>
          <w:rFonts w:hint="eastAsia" w:ascii="仿宋" w:hAnsi="仿宋" w:eastAsia="仿宋" w:cs="仿宋"/>
          <w:sz w:val="32"/>
          <w:szCs w:val="32"/>
          <w:highlight w:val="none"/>
        </w:rPr>
        <w:t xml:space="preserve">人民政府及其有关部门应当加强绿化科学知识、法律法规的宣传，提高公民履行绿化义务和保护绿化成果的意识。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第九条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单位和个人有保护</w:t>
      </w:r>
      <w:r>
        <w:rPr>
          <w:rFonts w:hint="eastAsia" w:ascii="仿宋" w:hAnsi="仿宋" w:eastAsia="仿宋" w:cs="仿宋"/>
          <w:sz w:val="32"/>
          <w:szCs w:val="32"/>
          <w:highlight w:val="none"/>
          <w:lang w:val="en-US" w:eastAsia="zh-CN"/>
        </w:rPr>
        <w:t>城市</w:t>
      </w:r>
      <w:r>
        <w:rPr>
          <w:rFonts w:hint="eastAsia" w:ascii="仿宋" w:hAnsi="仿宋" w:eastAsia="仿宋" w:cs="仿宋"/>
          <w:sz w:val="32"/>
          <w:szCs w:val="32"/>
          <w:highlight w:val="none"/>
        </w:rPr>
        <w:t>树木花草以及绿化设施的义务，有制止、举报损害</w:t>
      </w:r>
      <w:r>
        <w:rPr>
          <w:rFonts w:hint="eastAsia" w:ascii="仿宋" w:hAnsi="仿宋" w:eastAsia="仿宋" w:cs="仿宋"/>
          <w:sz w:val="32"/>
          <w:szCs w:val="32"/>
          <w:highlight w:val="none"/>
          <w:lang w:val="en-US" w:eastAsia="zh-CN"/>
        </w:rPr>
        <w:t>城市</w:t>
      </w:r>
      <w:r>
        <w:rPr>
          <w:rFonts w:hint="eastAsia" w:ascii="仿宋" w:hAnsi="仿宋" w:eastAsia="仿宋" w:cs="仿宋"/>
          <w:sz w:val="32"/>
          <w:szCs w:val="32"/>
          <w:highlight w:val="none"/>
        </w:rPr>
        <w:t xml:space="preserve">树木花草以及绿化设施行为的权利。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政府鼓励单位和个人投资、捐资建纪念林、种纪念树，认养树木花草，兴建、养护城市公园绿地以及其他城市绿地。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eastAsia="zh-CN"/>
        </w:rPr>
      </w:pPr>
      <w:r>
        <w:rPr>
          <w:rFonts w:hint="eastAsia" w:ascii="楷体" w:hAnsi="楷体" w:eastAsia="楷体" w:cs="楷体"/>
          <w:sz w:val="32"/>
          <w:szCs w:val="32"/>
          <w:highlight w:val="none"/>
        </w:rPr>
        <w:t>第十条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各级</w:t>
      </w:r>
      <w:r>
        <w:rPr>
          <w:rFonts w:hint="eastAsia" w:ascii="仿宋" w:hAnsi="仿宋" w:eastAsia="仿宋" w:cs="仿宋"/>
          <w:sz w:val="32"/>
          <w:szCs w:val="32"/>
          <w:highlight w:val="none"/>
        </w:rPr>
        <w:t>人民政府应当对在城市绿化规划、建设、保护、管理和科研工作中做出显著成绩的单位和个人，给予表彰</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规划和建设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第十一条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各级</w:t>
      </w:r>
      <w:r>
        <w:rPr>
          <w:rFonts w:hint="eastAsia" w:ascii="仿宋" w:hAnsi="仿宋" w:eastAsia="仿宋" w:cs="仿宋"/>
          <w:sz w:val="32"/>
          <w:szCs w:val="32"/>
          <w:highlight w:val="none"/>
        </w:rPr>
        <w:t>人民政府应当组织城市绿化主管部门、规划和自然资源部门</w:t>
      </w:r>
      <w:r>
        <w:rPr>
          <w:rFonts w:hint="eastAsia" w:ascii="仿宋" w:hAnsi="仿宋" w:eastAsia="仿宋" w:cs="仿宋"/>
          <w:sz w:val="32"/>
          <w:szCs w:val="32"/>
          <w:highlight w:val="none"/>
          <w:lang w:val="en-US" w:eastAsia="zh-CN"/>
        </w:rPr>
        <w:t>等共同</w:t>
      </w:r>
      <w:r>
        <w:rPr>
          <w:rFonts w:hint="eastAsia" w:ascii="仿宋" w:hAnsi="仿宋" w:eastAsia="仿宋" w:cs="仿宋"/>
          <w:sz w:val="32"/>
          <w:szCs w:val="32"/>
          <w:highlight w:val="none"/>
        </w:rPr>
        <w:t>编制城市</w:t>
      </w:r>
      <w:r>
        <w:rPr>
          <w:rFonts w:hint="eastAsia" w:ascii="仿宋" w:hAnsi="仿宋" w:eastAsia="仿宋" w:cs="仿宋"/>
          <w:color w:val="auto"/>
          <w:sz w:val="32"/>
          <w:szCs w:val="32"/>
          <w:highlight w:val="none"/>
          <w:lang w:val="en-US" w:eastAsia="zh-CN"/>
        </w:rPr>
        <w:t>绿化规划</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lang w:val="en-US" w:eastAsia="zh-CN"/>
        </w:rPr>
        <w:t>并纳入城市总体规划。城市</w:t>
      </w:r>
      <w:r>
        <w:rPr>
          <w:rFonts w:hint="eastAsia" w:ascii="仿宋" w:hAnsi="仿宋" w:eastAsia="仿宋" w:cs="仿宋"/>
          <w:color w:val="auto"/>
          <w:sz w:val="32"/>
          <w:szCs w:val="32"/>
          <w:highlight w:val="none"/>
          <w:lang w:val="en-US" w:eastAsia="zh-CN"/>
        </w:rPr>
        <w:t>绿化规划</w:t>
      </w:r>
      <w:r>
        <w:rPr>
          <w:rFonts w:hint="eastAsia" w:ascii="仿宋" w:hAnsi="仿宋" w:eastAsia="仿宋" w:cs="仿宋"/>
          <w:sz w:val="32"/>
          <w:szCs w:val="32"/>
          <w:highlight w:val="none"/>
        </w:rPr>
        <w:t>按规定的审批程序批准后，由</w:t>
      </w:r>
      <w:r>
        <w:rPr>
          <w:rFonts w:hint="eastAsia" w:ascii="仿宋" w:hAnsi="仿宋" w:eastAsia="仿宋" w:cs="仿宋"/>
          <w:sz w:val="32"/>
          <w:szCs w:val="32"/>
          <w:highlight w:val="none"/>
          <w:lang w:val="en-US" w:eastAsia="zh-CN"/>
        </w:rPr>
        <w:t>城市绿化</w:t>
      </w:r>
      <w:r>
        <w:rPr>
          <w:rFonts w:hint="eastAsia" w:ascii="仿宋" w:hAnsi="仿宋" w:eastAsia="仿宋" w:cs="仿宋"/>
          <w:sz w:val="32"/>
          <w:szCs w:val="32"/>
          <w:highlight w:val="none"/>
        </w:rPr>
        <w:t>主管部门组织实施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并向社会公布。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规划确定的绿化用地，任何单位和个人不得</w:t>
      </w:r>
      <w:r>
        <w:rPr>
          <w:rFonts w:hint="eastAsia" w:ascii="仿宋" w:hAnsi="仿宋" w:eastAsia="仿宋" w:cs="仿宋"/>
          <w:sz w:val="32"/>
          <w:szCs w:val="32"/>
          <w:highlight w:val="none"/>
          <w:lang w:val="en-US" w:eastAsia="zh-CN"/>
        </w:rPr>
        <w:t>擅自改作他用</w:t>
      </w:r>
      <w:r>
        <w:rPr>
          <w:rFonts w:hint="eastAsia" w:ascii="仿宋" w:hAnsi="仿宋" w:eastAsia="仿宋" w:cs="仿宋"/>
          <w:sz w:val="32"/>
          <w:szCs w:val="32"/>
          <w:highlight w:val="none"/>
        </w:rPr>
        <w:t>，确需改作他用的，应经原批准机关同意，</w:t>
      </w:r>
      <w:r>
        <w:rPr>
          <w:rFonts w:hint="eastAsia" w:ascii="仿宋" w:hAnsi="仿宋" w:eastAsia="仿宋" w:cs="仿宋"/>
          <w:sz w:val="32"/>
          <w:szCs w:val="32"/>
          <w:highlight w:val="none"/>
          <w:lang w:val="en-US" w:eastAsia="zh-CN"/>
        </w:rPr>
        <w:t>同时</w:t>
      </w:r>
      <w:r>
        <w:rPr>
          <w:rFonts w:hint="eastAsia" w:ascii="仿宋" w:hAnsi="仿宋" w:eastAsia="仿宋" w:cs="仿宋"/>
          <w:sz w:val="32"/>
          <w:szCs w:val="32"/>
          <w:highlight w:val="none"/>
        </w:rPr>
        <w:t>补足相应绿化用地面积。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eastAsia="zh-CN"/>
        </w:rPr>
      </w:pPr>
      <w:r>
        <w:rPr>
          <w:rFonts w:hint="eastAsia" w:ascii="楷体" w:hAnsi="楷体" w:eastAsia="楷体" w:cs="楷体"/>
          <w:sz w:val="32"/>
          <w:szCs w:val="32"/>
          <w:highlight w:val="none"/>
        </w:rPr>
        <w:t>第十二条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w:t>
      </w:r>
      <w:r>
        <w:rPr>
          <w:rFonts w:hint="eastAsia" w:ascii="仿宋" w:hAnsi="仿宋" w:eastAsia="仿宋" w:cs="仿宋"/>
          <w:sz w:val="32"/>
          <w:szCs w:val="32"/>
          <w:highlight w:val="none"/>
          <w:lang w:eastAsia="zh-CN"/>
        </w:rPr>
        <w:t>各级</w:t>
      </w:r>
      <w:r>
        <w:rPr>
          <w:rFonts w:hint="eastAsia" w:ascii="仿宋" w:hAnsi="仿宋" w:eastAsia="仿宋" w:cs="仿宋"/>
          <w:sz w:val="32"/>
          <w:szCs w:val="32"/>
          <w:highlight w:val="none"/>
        </w:rPr>
        <w:t>人民政府城市绿化主管部门应当根据城市</w:t>
      </w:r>
      <w:r>
        <w:rPr>
          <w:rFonts w:hint="eastAsia" w:ascii="仿宋" w:hAnsi="仿宋" w:eastAsia="仿宋" w:cs="仿宋"/>
          <w:sz w:val="32"/>
          <w:szCs w:val="32"/>
          <w:highlight w:val="none"/>
          <w:lang w:val="en-US" w:eastAsia="zh-CN"/>
        </w:rPr>
        <w:t>绿化</w:t>
      </w:r>
      <w:r>
        <w:rPr>
          <w:rFonts w:hint="eastAsia" w:ascii="仿宋" w:hAnsi="仿宋" w:eastAsia="仿宋" w:cs="仿宋"/>
          <w:sz w:val="32"/>
          <w:szCs w:val="32"/>
          <w:highlight w:val="none"/>
        </w:rPr>
        <w:t>规划编制本行政区域内的城市绿化年度实施计划，经本级人民政府批准后实施</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第十三条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市人民政府城市绿化主管部门应当会同有关部门加强汾河</w:t>
      </w:r>
      <w:r>
        <w:rPr>
          <w:rFonts w:hint="eastAsia" w:ascii="仿宋" w:hAnsi="仿宋" w:eastAsia="仿宋" w:cs="仿宋"/>
          <w:sz w:val="32"/>
          <w:szCs w:val="32"/>
          <w:highlight w:val="none"/>
          <w:lang w:val="en-US" w:eastAsia="zh-CN"/>
        </w:rPr>
        <w:t>临汾</w:t>
      </w:r>
      <w:r>
        <w:rPr>
          <w:rFonts w:hint="eastAsia" w:ascii="仿宋" w:hAnsi="仿宋" w:eastAsia="仿宋" w:cs="仿宋"/>
          <w:sz w:val="32"/>
          <w:szCs w:val="32"/>
          <w:highlight w:val="none"/>
        </w:rPr>
        <w:t>城区段、</w:t>
      </w:r>
      <w:r>
        <w:rPr>
          <w:rFonts w:hint="eastAsia" w:ascii="仿宋" w:hAnsi="仿宋" w:eastAsia="仿宋" w:cs="仿宋"/>
          <w:sz w:val="32"/>
          <w:szCs w:val="32"/>
          <w:highlight w:val="none"/>
          <w:lang w:val="en-US" w:eastAsia="zh-CN"/>
        </w:rPr>
        <w:t>支线河流</w:t>
      </w:r>
      <w:r>
        <w:rPr>
          <w:rFonts w:hint="eastAsia" w:ascii="仿宋" w:hAnsi="仿宋" w:eastAsia="仿宋" w:cs="仿宋"/>
          <w:sz w:val="32"/>
          <w:szCs w:val="32"/>
          <w:highlight w:val="none"/>
        </w:rPr>
        <w:t xml:space="preserve">片区、东西山等重点区域及周边规划管控，保护其自然环境和生态系统。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第十四条</w:t>
      </w:r>
      <w:r>
        <w:rPr>
          <w:rFonts w:hint="eastAsia" w:ascii="仿宋" w:hAnsi="仿宋" w:eastAsia="仿宋" w:cs="仿宋"/>
          <w:sz w:val="32"/>
          <w:szCs w:val="32"/>
          <w:highlight w:val="none"/>
        </w:rPr>
        <w:t xml:space="preserve">  市人民政府城市绿化主管部门、规划和自然资源部门应当会同有关部门，依托水系、道路、公园绿地、防护林带等自然资源和线性廊道，将生态、文化、交通等要素有机结合，统筹规划和建设纵横贯通的绿道网络，为公众提供便捷舒适的慢行、健身、休闲空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第十五条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新建各类城市建设项目的绿化用地标准应当按照下列规定执行：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（一）新建居住区绿地所占居</w:t>
      </w:r>
      <w:r>
        <w:rPr>
          <w:rFonts w:hint="eastAsia" w:ascii="仿宋" w:hAnsi="仿宋" w:eastAsia="仿宋" w:cs="仿宋"/>
          <w:color w:val="auto"/>
          <w:sz w:val="32"/>
          <w:szCs w:val="32"/>
          <w:highlight w:val="none"/>
          <w:lang w:val="en-US" w:eastAsia="zh-CN"/>
        </w:rPr>
        <w:t>民</w:t>
      </w:r>
      <w:r>
        <w:rPr>
          <w:rFonts w:hint="eastAsia" w:ascii="仿宋" w:hAnsi="仿宋" w:eastAsia="仿宋" w:cs="仿宋"/>
          <w:sz w:val="32"/>
          <w:szCs w:val="32"/>
          <w:highlight w:val="none"/>
        </w:rPr>
        <w:t>总用地比率不低于30%；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（二）城市道路主干道绿带面积所占道路用地比率不低于20%，次干道绿带面积所占比率不低于15%；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（三）城市内水体及铁路旁的防护林带宽度不少于30米；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（四）单位绿地面积所占单位总用地面积的比率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工业企业、交通枢纽、仓储、商业中心等绿地率不低于20%。产生有害气体及污染物的工厂应根据国家标准设立不少于50米的防护林带，其绿地率不低于30%。学校、医院、休疗养院所、机关团体、公共文化活动场所、部队等单位的绿地率不低于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（五）公共绿地中绿化用地所占比率，按照</w:t>
      </w:r>
      <w:r>
        <w:rPr>
          <w:rFonts w:hint="eastAsia" w:ascii="仿宋" w:hAnsi="仿宋" w:eastAsia="仿宋" w:cs="仿宋"/>
          <w:sz w:val="32"/>
          <w:szCs w:val="32"/>
          <w:highlight w:val="none"/>
          <w:lang w:val="en-US" w:eastAsia="zh-CN"/>
        </w:rPr>
        <w:t>国务院建设行政主管部门</w:t>
      </w:r>
      <w:r>
        <w:rPr>
          <w:rFonts w:hint="eastAsia" w:ascii="仿宋" w:hAnsi="仿宋" w:eastAsia="仿宋" w:cs="仿宋"/>
          <w:sz w:val="32"/>
          <w:szCs w:val="32"/>
          <w:highlight w:val="none"/>
        </w:rPr>
        <w:t>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城中村、棚户区等涉及旧城区改造地区的绿化面积，按照前款（一）、（二）、（四）项规定的指标降低5个百分点。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第十六条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各级</w:t>
      </w:r>
      <w:r>
        <w:rPr>
          <w:rFonts w:hint="eastAsia" w:ascii="仿宋" w:hAnsi="仿宋" w:eastAsia="仿宋" w:cs="仿宋"/>
          <w:sz w:val="32"/>
          <w:szCs w:val="32"/>
          <w:highlight w:val="none"/>
        </w:rPr>
        <w:t>人民政府</w:t>
      </w:r>
      <w:r>
        <w:rPr>
          <w:rFonts w:hint="eastAsia" w:ascii="仿宋" w:hAnsi="仿宋" w:eastAsia="仿宋" w:cs="仿宋"/>
          <w:sz w:val="32"/>
          <w:szCs w:val="32"/>
          <w:highlight w:val="none"/>
          <w:lang w:val="en-US" w:eastAsia="zh-CN"/>
        </w:rPr>
        <w:t>行政审批</w:t>
      </w:r>
      <w:r>
        <w:rPr>
          <w:rFonts w:hint="eastAsia" w:ascii="仿宋" w:hAnsi="仿宋" w:eastAsia="仿宋" w:cs="仿宋"/>
          <w:sz w:val="32"/>
          <w:szCs w:val="32"/>
          <w:highlight w:val="none"/>
        </w:rPr>
        <w:t>部门应当按照本</w:t>
      </w:r>
      <w:r>
        <w:rPr>
          <w:rFonts w:hint="eastAsia" w:ascii="仿宋" w:hAnsi="仿宋" w:eastAsia="仿宋" w:cs="仿宋"/>
          <w:sz w:val="32"/>
          <w:szCs w:val="32"/>
          <w:highlight w:val="none"/>
          <w:lang w:eastAsia="zh-CN"/>
        </w:rPr>
        <w:t>办法</w:t>
      </w:r>
      <w:r>
        <w:rPr>
          <w:rFonts w:hint="eastAsia" w:ascii="仿宋" w:hAnsi="仿宋" w:eastAsia="仿宋" w:cs="仿宋"/>
          <w:sz w:val="32"/>
          <w:szCs w:val="32"/>
          <w:highlight w:val="none"/>
        </w:rPr>
        <w:t>规定的配套绿化用地标准审批</w:t>
      </w:r>
      <w:r>
        <w:rPr>
          <w:rFonts w:hint="eastAsia" w:ascii="仿宋" w:hAnsi="仿宋" w:eastAsia="仿宋" w:cs="仿宋"/>
          <w:sz w:val="32"/>
          <w:szCs w:val="32"/>
          <w:highlight w:val="none"/>
          <w:lang w:val="en-US" w:eastAsia="zh-CN"/>
        </w:rPr>
        <w:t>新建</w:t>
      </w:r>
      <w:r>
        <w:rPr>
          <w:rFonts w:hint="eastAsia" w:ascii="仿宋" w:hAnsi="仿宋" w:eastAsia="仿宋" w:cs="仿宋"/>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单位和居住区现有绿化用地低于规定标准，尚有余地绿化的，应当自接到城市</w:t>
      </w:r>
      <w:r>
        <w:rPr>
          <w:rFonts w:hint="eastAsia" w:ascii="仿宋" w:hAnsi="仿宋" w:eastAsia="仿宋" w:cs="仿宋"/>
          <w:sz w:val="32"/>
          <w:szCs w:val="32"/>
          <w:highlight w:val="none"/>
          <w:lang w:val="en-US" w:eastAsia="zh-CN"/>
        </w:rPr>
        <w:t>绿化</w:t>
      </w:r>
      <w:r>
        <w:rPr>
          <w:rFonts w:hint="eastAsia" w:ascii="仿宋" w:hAnsi="仿宋" w:eastAsia="仿宋" w:cs="仿宋"/>
          <w:sz w:val="32"/>
          <w:szCs w:val="32"/>
          <w:highlight w:val="none"/>
          <w:lang w:eastAsia="zh-CN"/>
        </w:rPr>
        <w:t>主管部门通知之日起两年内进行绿化。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eastAsia="zh-CN"/>
        </w:rPr>
      </w:pPr>
      <w:r>
        <w:rPr>
          <w:rFonts w:hint="eastAsia" w:ascii="楷体" w:hAnsi="楷体" w:eastAsia="楷体" w:cs="楷体"/>
          <w:sz w:val="32"/>
          <w:szCs w:val="32"/>
          <w:highlight w:val="none"/>
        </w:rPr>
        <w:t>第十</w:t>
      </w:r>
      <w:r>
        <w:rPr>
          <w:rFonts w:hint="eastAsia" w:ascii="楷体" w:hAnsi="楷体" w:eastAsia="楷体" w:cs="楷体"/>
          <w:sz w:val="32"/>
          <w:szCs w:val="32"/>
          <w:highlight w:val="none"/>
          <w:lang w:val="en-US" w:eastAsia="zh-CN"/>
        </w:rPr>
        <w:t>七</w:t>
      </w:r>
      <w:r>
        <w:rPr>
          <w:rFonts w:hint="eastAsia" w:ascii="楷体" w:hAnsi="楷体" w:eastAsia="楷体" w:cs="楷体"/>
          <w:sz w:val="32"/>
          <w:szCs w:val="32"/>
          <w:highlight w:val="none"/>
        </w:rPr>
        <w:t>条</w:t>
      </w:r>
      <w:r>
        <w:rPr>
          <w:rFonts w:hint="eastAsia" w:ascii="楷体" w:hAnsi="楷体" w:eastAsia="楷体" w:cs="楷体"/>
          <w:sz w:val="32"/>
          <w:szCs w:val="32"/>
          <w:highlight w:val="none"/>
          <w:lang w:val="en-US" w:eastAsia="zh-CN"/>
        </w:rPr>
        <w:t xml:space="preserve">  </w:t>
      </w:r>
      <w:r>
        <w:rPr>
          <w:rFonts w:hint="eastAsia" w:ascii="仿宋" w:hAnsi="仿宋" w:eastAsia="仿宋" w:cs="仿宋"/>
          <w:sz w:val="32"/>
          <w:szCs w:val="32"/>
          <w:highlight w:val="none"/>
          <w:lang w:val="en-US" w:eastAsia="zh-CN"/>
        </w:rPr>
        <w:t>各类城市新建、改建、扩建项目，绿化苗木设置不得遮挡交通信号灯及交通指示牌等交通设施。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第十</w:t>
      </w:r>
      <w:r>
        <w:rPr>
          <w:rFonts w:hint="eastAsia" w:ascii="楷体" w:hAnsi="楷体" w:eastAsia="楷体" w:cs="楷体"/>
          <w:sz w:val="32"/>
          <w:szCs w:val="32"/>
          <w:highlight w:val="none"/>
          <w:lang w:val="en-US" w:eastAsia="zh-CN"/>
        </w:rPr>
        <w:t>八</w:t>
      </w:r>
      <w:r>
        <w:rPr>
          <w:rFonts w:hint="eastAsia" w:ascii="楷体" w:hAnsi="楷体" w:eastAsia="楷体" w:cs="楷体"/>
          <w:sz w:val="32"/>
          <w:szCs w:val="32"/>
          <w:highlight w:val="none"/>
        </w:rPr>
        <w:t>条 </w:t>
      </w:r>
      <w:r>
        <w:rPr>
          <w:rFonts w:hint="eastAsia" w:ascii="楷体" w:hAnsi="楷体" w:eastAsia="楷体" w:cs="楷体"/>
          <w:sz w:val="32"/>
          <w:szCs w:val="32"/>
          <w:highlight w:val="none"/>
          <w:lang w:val="en-US" w:eastAsia="zh-CN"/>
        </w:rPr>
        <w:t xml:space="preserve">  </w:t>
      </w:r>
      <w:r>
        <w:rPr>
          <w:rFonts w:hint="eastAsia" w:ascii="仿宋" w:hAnsi="仿宋" w:eastAsia="仿宋" w:cs="仿宋"/>
          <w:sz w:val="32"/>
          <w:szCs w:val="32"/>
          <w:highlight w:val="none"/>
        </w:rPr>
        <w:t>城市绿化工程应当依法进行招投标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工程质量</w:t>
      </w:r>
      <w:r>
        <w:rPr>
          <w:rFonts w:hint="eastAsia" w:ascii="仿宋" w:hAnsi="仿宋" w:eastAsia="仿宋" w:cs="仿宋"/>
          <w:sz w:val="32"/>
          <w:szCs w:val="32"/>
          <w:highlight w:val="none"/>
          <w:lang w:eastAsia="zh-CN"/>
        </w:rPr>
        <w:t>过程</w:t>
      </w:r>
      <w:r>
        <w:rPr>
          <w:rFonts w:hint="eastAsia" w:ascii="仿宋" w:hAnsi="仿宋" w:eastAsia="仿宋" w:cs="仿宋"/>
          <w:sz w:val="32"/>
          <w:szCs w:val="32"/>
          <w:highlight w:val="none"/>
        </w:rPr>
        <w:t>监督</w:t>
      </w:r>
      <w:r>
        <w:rPr>
          <w:rFonts w:hint="eastAsia" w:ascii="仿宋" w:hAnsi="仿宋" w:eastAsia="仿宋" w:cs="仿宋"/>
          <w:sz w:val="32"/>
          <w:szCs w:val="32"/>
          <w:highlight w:val="none"/>
          <w:lang w:eastAsia="zh-CN"/>
        </w:rPr>
        <w:t>、竣工验收</w:t>
      </w:r>
      <w:r>
        <w:rPr>
          <w:rFonts w:hint="eastAsia" w:ascii="仿宋" w:hAnsi="仿宋" w:eastAsia="仿宋" w:cs="仿宋"/>
          <w:sz w:val="32"/>
          <w:szCs w:val="32"/>
          <w:highlight w:val="none"/>
        </w:rPr>
        <w:t>，确保城市绿化工程质量。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城市绿化工程的设计，应委托持有相应</w:t>
      </w:r>
      <w:r>
        <w:rPr>
          <w:rFonts w:hint="eastAsia" w:ascii="仿宋" w:hAnsi="仿宋" w:eastAsia="仿宋" w:cs="仿宋"/>
          <w:color w:val="auto"/>
          <w:sz w:val="32"/>
          <w:szCs w:val="32"/>
          <w:highlight w:val="none"/>
          <w:lang w:val="en-US" w:eastAsia="zh-CN"/>
        </w:rPr>
        <w:t>资格证书</w:t>
      </w:r>
      <w:r>
        <w:rPr>
          <w:rFonts w:hint="eastAsia" w:ascii="仿宋" w:hAnsi="仿宋" w:eastAsia="仿宋" w:cs="仿宋"/>
          <w:sz w:val="32"/>
          <w:szCs w:val="32"/>
          <w:highlight w:val="none"/>
        </w:rPr>
        <w:t>的设计单位承担。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第十</w:t>
      </w:r>
      <w:r>
        <w:rPr>
          <w:rFonts w:hint="eastAsia" w:ascii="楷体" w:hAnsi="楷体" w:eastAsia="楷体" w:cs="楷体"/>
          <w:sz w:val="32"/>
          <w:szCs w:val="32"/>
          <w:highlight w:val="none"/>
          <w:lang w:val="en-US" w:eastAsia="zh-CN"/>
        </w:rPr>
        <w:t>九</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城市新建、改建、扩建项目，需要绿化的，其建设投资中应当包括配套的绿化建设资金。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w:t>
      </w:r>
      <w:r>
        <w:rPr>
          <w:rFonts w:hint="eastAsia" w:ascii="楷体" w:hAnsi="楷体" w:eastAsia="楷体" w:cs="楷体"/>
          <w:sz w:val="32"/>
          <w:szCs w:val="32"/>
          <w:highlight w:val="none"/>
          <w:lang w:val="en-US" w:eastAsia="zh-CN"/>
        </w:rPr>
        <w:t>二十</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城市新建、改建、扩建项目的配套绿化工程应当</w:t>
      </w:r>
      <w:r>
        <w:rPr>
          <w:rFonts w:hint="eastAsia" w:ascii="仿宋" w:hAnsi="仿宋" w:eastAsia="仿宋" w:cs="仿宋"/>
          <w:sz w:val="32"/>
          <w:szCs w:val="32"/>
          <w:highlight w:val="none"/>
          <w:lang w:val="en-US" w:eastAsia="zh-CN"/>
        </w:rPr>
        <w:t>统一安排绿化施工，并在规定期限内完成绿化任务</w:t>
      </w:r>
      <w:r>
        <w:rPr>
          <w:rFonts w:hint="eastAsia" w:ascii="仿宋" w:hAnsi="仿宋" w:eastAsia="仿宋" w:cs="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第二十</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工程建设项目的附属绿化工程设计方案，按照基本建设程序审批时， 城市绿化主管部门</w:t>
      </w:r>
      <w:r>
        <w:rPr>
          <w:rFonts w:hint="eastAsia" w:ascii="仿宋" w:hAnsi="仿宋" w:eastAsia="仿宋" w:cs="仿宋"/>
          <w:sz w:val="32"/>
          <w:szCs w:val="32"/>
          <w:highlight w:val="none"/>
          <w:lang w:val="en-US" w:eastAsia="zh-CN"/>
        </w:rPr>
        <w:t>必须</w:t>
      </w:r>
      <w:r>
        <w:rPr>
          <w:rFonts w:hint="eastAsia" w:ascii="仿宋" w:hAnsi="仿宋" w:eastAsia="仿宋" w:cs="仿宋"/>
          <w:sz w:val="32"/>
          <w:szCs w:val="32"/>
          <w:highlight w:val="none"/>
        </w:rPr>
        <w:t xml:space="preserve">参加审查。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建设单位必须按照批准的绿化工程设计方案组织施工，不得擅自更改设计方案。设计方案确需改变时，应当经原批准机关审批。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楷体" w:hAnsi="楷体" w:eastAsia="楷体" w:cs="楷体"/>
          <w:color w:val="auto"/>
          <w:sz w:val="32"/>
          <w:szCs w:val="32"/>
          <w:highlight w:val="none"/>
        </w:rPr>
        <w:t>第二十</w:t>
      </w: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rPr>
        <w:t>条  </w:t>
      </w:r>
      <w:r>
        <w:rPr>
          <w:rFonts w:hint="eastAsia" w:ascii="仿宋" w:hAnsi="仿宋" w:eastAsia="仿宋" w:cs="仿宋"/>
          <w:color w:val="auto"/>
          <w:sz w:val="32"/>
          <w:szCs w:val="32"/>
          <w:highlight w:val="none"/>
          <w:lang w:eastAsia="zh-CN"/>
        </w:rPr>
        <w:t>城市绿化工程在实施过程中，</w:t>
      </w:r>
      <w:r>
        <w:rPr>
          <w:rFonts w:hint="eastAsia" w:ascii="仿宋" w:hAnsi="仿宋" w:eastAsia="仿宋" w:cs="仿宋"/>
          <w:color w:val="auto"/>
          <w:sz w:val="32"/>
          <w:szCs w:val="32"/>
          <w:highlight w:val="none"/>
          <w:lang w:val="en-US" w:eastAsia="zh-CN"/>
        </w:rPr>
        <w:t>应</w:t>
      </w:r>
      <w:r>
        <w:rPr>
          <w:rFonts w:hint="eastAsia" w:ascii="仿宋" w:hAnsi="仿宋" w:eastAsia="仿宋" w:cs="仿宋"/>
          <w:color w:val="auto"/>
          <w:sz w:val="32"/>
          <w:szCs w:val="32"/>
          <w:highlight w:val="none"/>
          <w:lang w:eastAsia="zh-CN"/>
        </w:rPr>
        <w:t>接受城市绿化主管部门的监督与技术指导。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园林绿化工程施工合同中应约定施工保修养护期，一般不少于1年。保修养护期满</w:t>
      </w:r>
      <w:r>
        <w:rPr>
          <w:rFonts w:hint="eastAsia" w:ascii="仿宋" w:hAnsi="仿宋" w:eastAsia="仿宋" w:cs="仿宋"/>
          <w:color w:val="auto"/>
          <w:sz w:val="32"/>
          <w:szCs w:val="32"/>
          <w:highlight w:val="none"/>
          <w:lang w:val="en-US" w:eastAsia="zh-CN"/>
        </w:rPr>
        <w:t>后</w:t>
      </w:r>
      <w:r>
        <w:rPr>
          <w:rFonts w:hint="eastAsia" w:ascii="仿宋" w:hAnsi="仿宋" w:eastAsia="仿宋" w:cs="仿宋"/>
          <w:color w:val="auto"/>
          <w:sz w:val="32"/>
          <w:szCs w:val="32"/>
          <w:highlight w:val="none"/>
        </w:rPr>
        <w:t>，竣工验收应通知项目所在地园林绿化主管部门，园林绿化主管部门应按照有关规定监督工程竣工验收</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建设单位</w:t>
      </w:r>
      <w:r>
        <w:rPr>
          <w:rFonts w:hint="eastAsia" w:ascii="仿宋" w:hAnsi="仿宋" w:eastAsia="仿宋" w:cs="仿宋"/>
          <w:color w:val="auto"/>
          <w:sz w:val="32"/>
          <w:szCs w:val="32"/>
          <w:highlight w:val="none"/>
          <w:lang w:eastAsia="zh-CN"/>
        </w:rPr>
        <w:t>须符合城市绿化主管部门的移交要求，履行相关移交程序。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第二十</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工程建设项目因客观环境限制绿化用地达不到规定标准的，须经</w:t>
      </w:r>
      <w:r>
        <w:rPr>
          <w:rFonts w:hint="eastAsia" w:ascii="仿宋" w:hAnsi="仿宋" w:eastAsia="仿宋" w:cs="仿宋"/>
          <w:sz w:val="32"/>
          <w:szCs w:val="32"/>
          <w:highlight w:val="none"/>
          <w:lang w:val="en-US" w:eastAsia="zh-CN"/>
        </w:rPr>
        <w:t>城市绿化</w:t>
      </w:r>
      <w:r>
        <w:rPr>
          <w:rFonts w:hint="eastAsia" w:ascii="仿宋" w:hAnsi="仿宋" w:eastAsia="仿宋" w:cs="仿宋"/>
          <w:sz w:val="32"/>
          <w:szCs w:val="32"/>
          <w:highlight w:val="none"/>
        </w:rPr>
        <w:t>主管部门同意，按所缺的绿化用地面积给予补偿。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bookmarkStart w:id="0" w:name="_GoBack"/>
      <w:bookmarkEnd w:id="0"/>
      <w:r>
        <w:rPr>
          <w:rFonts w:hint="eastAsia" w:ascii="楷体" w:hAnsi="楷体" w:eastAsia="楷体" w:cs="楷体"/>
          <w:sz w:val="32"/>
          <w:szCs w:val="32"/>
          <w:highlight w:val="none"/>
        </w:rPr>
        <w:t>第二十</w:t>
      </w:r>
      <w:r>
        <w:rPr>
          <w:rFonts w:hint="eastAsia" w:ascii="楷体" w:hAnsi="楷体" w:eastAsia="楷体" w:cs="楷体"/>
          <w:sz w:val="32"/>
          <w:szCs w:val="32"/>
          <w:highlight w:val="none"/>
          <w:lang w:val="en-US" w:eastAsia="zh-CN"/>
        </w:rPr>
        <w:t>四</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xml:space="preserve">  城市绿化工程实行质量负责制和责任追溯制度。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城市绿化工程建设单位应当督促勘察、设计、施工、监理等单位履行法定责任和义务，并建立各方责任主体质量责任信息档案。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第二十</w:t>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取得土地使用权后暂时不能开工的建设用地，</w:t>
      </w:r>
      <w:r>
        <w:rPr>
          <w:rFonts w:hint="eastAsia" w:ascii="仿宋" w:hAnsi="仿宋" w:eastAsia="仿宋" w:cs="仿宋"/>
          <w:sz w:val="32"/>
          <w:szCs w:val="32"/>
          <w:highlight w:val="none"/>
          <w:lang w:val="en-US" w:eastAsia="zh-CN"/>
        </w:rPr>
        <w:t>鼓励</w:t>
      </w:r>
      <w:r>
        <w:rPr>
          <w:rFonts w:hint="eastAsia" w:ascii="仿宋" w:hAnsi="仿宋" w:eastAsia="仿宋" w:cs="仿宋"/>
          <w:sz w:val="32"/>
          <w:szCs w:val="32"/>
          <w:highlight w:val="none"/>
        </w:rPr>
        <w:t>建设临时绿地。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第二十</w:t>
      </w:r>
      <w:r>
        <w:rPr>
          <w:rFonts w:hint="eastAsia" w:ascii="楷体" w:hAnsi="楷体" w:eastAsia="楷体" w:cs="楷体"/>
          <w:sz w:val="32"/>
          <w:szCs w:val="32"/>
          <w:highlight w:val="none"/>
          <w:lang w:val="en-US" w:eastAsia="zh-CN"/>
        </w:rPr>
        <w:t>六</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城市苗圃、草圃、花圃等生产绿地的建设，应当适应城市绿化建设的需要，其面积不得低于城市建成区总面积的</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保护和管理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w:t>
      </w:r>
      <w:r>
        <w:rPr>
          <w:rFonts w:hint="eastAsia" w:ascii="楷体" w:hAnsi="楷体" w:eastAsia="楷体" w:cs="楷体"/>
          <w:sz w:val="32"/>
          <w:szCs w:val="32"/>
          <w:highlight w:val="none"/>
          <w:lang w:val="en-US" w:eastAsia="zh-CN"/>
        </w:rPr>
        <w:t>二十七</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xml:space="preserve">  鼓励和推行以建筑物、构筑物为载体的立体绿化。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鼓励露天停车场建设成为生态停车场或林荫停车场</w:t>
      </w:r>
      <w:r>
        <w:rPr>
          <w:rFonts w:hint="eastAsia" w:ascii="仿宋" w:hAnsi="仿宋" w:eastAsia="仿宋" w:cs="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w:t>
      </w:r>
      <w:r>
        <w:rPr>
          <w:rFonts w:hint="eastAsia" w:ascii="楷体" w:hAnsi="楷体" w:eastAsia="楷体" w:cs="楷体"/>
          <w:sz w:val="32"/>
          <w:szCs w:val="32"/>
          <w:highlight w:val="none"/>
          <w:lang w:val="en-US" w:eastAsia="zh-CN"/>
        </w:rPr>
        <w:t>二十八</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xml:space="preserve">  城市绿</w:t>
      </w:r>
      <w:r>
        <w:rPr>
          <w:rFonts w:hint="eastAsia" w:ascii="仿宋" w:hAnsi="仿宋" w:eastAsia="仿宋" w:cs="仿宋"/>
          <w:color w:val="auto"/>
          <w:sz w:val="32"/>
          <w:szCs w:val="32"/>
          <w:highlight w:val="none"/>
          <w:lang w:val="en-US" w:eastAsia="zh-CN"/>
        </w:rPr>
        <w:t>地</w:t>
      </w:r>
      <w:r>
        <w:rPr>
          <w:rFonts w:hint="eastAsia" w:ascii="仿宋" w:hAnsi="仿宋" w:eastAsia="仿宋" w:cs="仿宋"/>
          <w:sz w:val="32"/>
          <w:szCs w:val="32"/>
          <w:highlight w:val="none"/>
        </w:rPr>
        <w:t>管理按下列规定分工负责：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（一）公共绿地、风景林地，由</w:t>
      </w:r>
      <w:r>
        <w:rPr>
          <w:rFonts w:hint="eastAsia" w:ascii="仿宋" w:hAnsi="仿宋" w:eastAsia="仿宋" w:cs="仿宋"/>
          <w:sz w:val="32"/>
          <w:szCs w:val="32"/>
          <w:highlight w:val="none"/>
          <w:lang w:val="en-US" w:eastAsia="zh-CN"/>
        </w:rPr>
        <w:t>城市绿化</w:t>
      </w:r>
      <w:r>
        <w:rPr>
          <w:rFonts w:hint="eastAsia" w:ascii="仿宋" w:hAnsi="仿宋" w:eastAsia="仿宋" w:cs="仿宋"/>
          <w:sz w:val="32"/>
          <w:szCs w:val="32"/>
          <w:highlight w:val="none"/>
        </w:rPr>
        <w:t>主管部门管理；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（二）街道绿地由</w:t>
      </w:r>
      <w:r>
        <w:rPr>
          <w:rFonts w:hint="eastAsia" w:ascii="仿宋" w:hAnsi="仿宋" w:eastAsia="仿宋" w:cs="仿宋"/>
          <w:sz w:val="32"/>
          <w:szCs w:val="32"/>
          <w:highlight w:val="none"/>
          <w:lang w:val="en-US" w:eastAsia="zh-CN"/>
        </w:rPr>
        <w:t>城市绿化</w:t>
      </w:r>
      <w:r>
        <w:rPr>
          <w:rFonts w:hint="eastAsia" w:ascii="仿宋" w:hAnsi="仿宋" w:eastAsia="仿宋" w:cs="仿宋"/>
          <w:sz w:val="32"/>
          <w:szCs w:val="32"/>
          <w:highlight w:val="none"/>
        </w:rPr>
        <w:t>主管部门与沿街单位和居民共同管理；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（三）苗圃、草圃、花圃、果园等生产绿地，由其经营单位管理；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（四）单位管界内的绿地，由本单位管理；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（五）公共居住区绿地，由街道办事处管理；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（六）城市规划区内的铁路两侧、公路两侧以及河道、水工程渠两岸的绿地和部分郊区林带，分别由其主管部门管理。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w:t>
      </w:r>
      <w:r>
        <w:rPr>
          <w:rFonts w:hint="eastAsia" w:ascii="楷体" w:hAnsi="楷体" w:eastAsia="楷体" w:cs="楷体"/>
          <w:sz w:val="32"/>
          <w:szCs w:val="32"/>
          <w:highlight w:val="none"/>
          <w:lang w:val="en-US" w:eastAsia="zh-CN"/>
        </w:rPr>
        <w:t>二十九</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各级</w:t>
      </w:r>
      <w:r>
        <w:rPr>
          <w:rFonts w:hint="eastAsia" w:ascii="仿宋" w:hAnsi="仿宋" w:eastAsia="仿宋" w:cs="仿宋"/>
          <w:sz w:val="32"/>
          <w:szCs w:val="32"/>
          <w:highlight w:val="none"/>
        </w:rPr>
        <w:t xml:space="preserve">人民政府城市绿化主管部门应当按照城市绿化养护标准和技术规范，对管辖范围内的树木花草和绿化设施进行养护和管理。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第三十条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eastAsia="zh-CN"/>
        </w:rPr>
        <w:t>各级</w:t>
      </w:r>
      <w:r>
        <w:rPr>
          <w:rFonts w:hint="eastAsia" w:ascii="仿宋" w:hAnsi="仿宋" w:eastAsia="仿宋" w:cs="仿宋"/>
          <w:sz w:val="32"/>
          <w:szCs w:val="32"/>
          <w:highlight w:val="none"/>
        </w:rPr>
        <w:t xml:space="preserve">人民政府城市绿化主管部门应当建立健全植物疫情监测预警预防控制体系，编制绿化防灾应急预案，加强绿化植物的病虫害防控。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植物检疫机构应当依法做好绿化植物的检疫工作。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第三十</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条  </w:t>
      </w:r>
      <w:r>
        <w:rPr>
          <w:rFonts w:hint="eastAsia" w:ascii="仿宋" w:hAnsi="仿宋" w:eastAsia="仿宋" w:cs="仿宋"/>
          <w:sz w:val="32"/>
          <w:szCs w:val="32"/>
          <w:highlight w:val="none"/>
        </w:rPr>
        <w:t xml:space="preserve">任何单位和个人不得擅自占用城市绿化用地；占用的城市绿化用地，应当限期归还。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因建设或者其他特殊需要临时占用城市绿化用地的，经城市绿化主管部门同意，并按照有关规定办理临时用地手续</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一次占用城市绿地1公顷以上的，须经省建设行政主管部门审核同意后报国务院建设行政主管部门批准，一次占用城市绿地0.1公顷以上的，须报省建设行政主管部门批准。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临时占用城市绿化用地的，应当补偿；造成损失的，应当承担赔偿责任。临时占用绿地期满后，占用人应当按照原设计恢复绿地</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highlight w:val="none"/>
        </w:rPr>
        <w:t>第三十</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w:t>
      </w:r>
      <w:r>
        <w:rPr>
          <w:rFonts w:hint="eastAsia" w:ascii="仿宋" w:hAnsi="仿宋" w:eastAsia="仿宋" w:cs="仿宋"/>
          <w:sz w:val="32"/>
          <w:szCs w:val="32"/>
          <w:lang w:val="en-US" w:eastAsia="zh-CN"/>
        </w:rPr>
        <w:t>任何单位和个人不得擅自砍伐、移植城市规划区内的树木。确需砍伐的，应当经城市绿化行政主管部门批准。每砍伐一株树应当到城市绿化行政主管部门指定地补栽胸径不少于 5 厘米的树木十株以上。因同一个工程项目需砍伐大树（胸径 20 厘米以上落叶乔木和胸径 15 厘米以上常绿乔木）超过 2 株，或移植大树、实施大修剪超过 10 株，或需迁移古树名木的，应当在工程规划设计阶段进行专项论证，采取听证会、公示等形式，就砍伐、移植树木种类和数量、修剪程度等征求公众意见，接受社会监督。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第三十</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城市树木应当与各类工程管线、交通设施保持适当距离。当树木生长影响管线安全或者交通设施使用需要修剪时，按照兼顾管线安全使用和树木正常生长的原则统一由城市绿化专业队伍进行修剪。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rPr>
        <w:t>第三十</w:t>
      </w:r>
      <w:r>
        <w:rPr>
          <w:rFonts w:hint="eastAsia" w:ascii="楷体" w:hAnsi="楷体" w:eastAsia="楷体" w:cs="楷体"/>
          <w:sz w:val="32"/>
          <w:szCs w:val="32"/>
          <w:highlight w:val="none"/>
          <w:lang w:val="en-US" w:eastAsia="zh-CN"/>
        </w:rPr>
        <w:t>四</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因救灾、抢险确需立即砍伐、移植、修剪树木的，除古树名木外，可先行处理</w:t>
      </w:r>
      <w:r>
        <w:rPr>
          <w:rFonts w:hint="eastAsia" w:ascii="仿宋" w:hAnsi="仿宋" w:eastAsia="仿宋" w:cs="仿宋"/>
          <w:sz w:val="32"/>
          <w:szCs w:val="32"/>
          <w:highlight w:val="none"/>
          <w:lang w:val="en-US" w:eastAsia="zh-CN"/>
        </w:rPr>
        <w:t>并</w:t>
      </w:r>
      <w:r>
        <w:rPr>
          <w:rFonts w:hint="eastAsia" w:ascii="仿宋" w:hAnsi="仿宋" w:eastAsia="仿宋" w:cs="仿宋"/>
          <w:sz w:val="32"/>
          <w:szCs w:val="32"/>
          <w:highlight w:val="none"/>
        </w:rPr>
        <w:t>及时恢复。</w:t>
      </w:r>
      <w:r>
        <w:rPr>
          <w:rFonts w:hint="eastAsia" w:ascii="仿宋" w:hAnsi="仿宋" w:eastAsia="仿宋" w:cs="仿宋"/>
          <w:sz w:val="32"/>
          <w:szCs w:val="32"/>
          <w:highlight w:val="none"/>
          <w:lang w:val="en-US" w:eastAsia="zh-CN"/>
        </w:rPr>
        <w:t>但是，应当及时报告城市绿化主管部门和绿地管理单位。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w:t>
      </w:r>
      <w:r>
        <w:rPr>
          <w:rFonts w:hint="eastAsia" w:ascii="楷体" w:hAnsi="楷体" w:eastAsia="楷体" w:cs="楷体"/>
          <w:sz w:val="32"/>
          <w:szCs w:val="32"/>
          <w:highlight w:val="none"/>
          <w:lang w:val="en-US" w:eastAsia="zh-CN"/>
        </w:rPr>
        <w:t>三十五</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xml:space="preserve">  禁止下列损害城市绿化及其设施的行为：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（一）在绿地内损坏草坪、花坛、绿篱，损坏、盗窃绿化设施；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（二）在树木上牵</w:t>
      </w:r>
      <w:r>
        <w:rPr>
          <w:rFonts w:hint="eastAsia" w:ascii="仿宋" w:hAnsi="仿宋" w:eastAsia="仿宋" w:cs="仿宋"/>
          <w:sz w:val="32"/>
          <w:szCs w:val="32"/>
          <w:highlight w:val="none"/>
          <w:lang w:val="en-US" w:eastAsia="zh-CN"/>
        </w:rPr>
        <w:t>挂</w:t>
      </w:r>
      <w:r>
        <w:rPr>
          <w:rFonts w:hint="eastAsia" w:ascii="仿宋" w:hAnsi="仿宋" w:eastAsia="仿宋" w:cs="仿宋"/>
          <w:sz w:val="32"/>
          <w:szCs w:val="32"/>
          <w:highlight w:val="none"/>
        </w:rPr>
        <w:t>绳索、架设电线，在绿地内晾晒物品，停放车辆，放牧；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（三）在绿地或绿化带内挖坑取土、堆放物料；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（四）在绿地内搭灶生火，燃烧废物，倾倒有害物质；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（五）擅自砍伐树木，就树盖房、设置广告牌标语牌、刻划钉钉、攀折花木等损害树木生长；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（六）距树木一米以内堆放物料，二米以内挖沙取土；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（七）其他损害绿地有碍树木生长的行为。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w:t>
      </w:r>
      <w:r>
        <w:rPr>
          <w:rFonts w:hint="eastAsia" w:ascii="楷体" w:hAnsi="楷体" w:eastAsia="楷体" w:cs="楷体"/>
          <w:sz w:val="32"/>
          <w:szCs w:val="32"/>
          <w:highlight w:val="none"/>
          <w:lang w:val="en-US" w:eastAsia="zh-CN"/>
        </w:rPr>
        <w:t>三十六</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因交通、生产等事故损坏城市树木花草和绿化设施的，事故责任人应当依法承担赔偿责任。</w:t>
      </w:r>
      <w:r>
        <w:rPr>
          <w:rFonts w:hint="eastAsia" w:ascii="仿宋" w:hAnsi="仿宋" w:eastAsia="仿宋" w:cs="仿宋"/>
          <w:sz w:val="32"/>
          <w:szCs w:val="32"/>
          <w:highlight w:val="none"/>
          <w:lang w:val="en-US" w:eastAsia="zh-CN"/>
        </w:rPr>
        <w:t>由城市绿化主管部门负责监督落实。</w:t>
      </w:r>
      <w:r>
        <w:rPr>
          <w:rFonts w:hint="eastAsia" w:ascii="仿宋" w:hAnsi="仿宋" w:eastAsia="仿宋" w:cs="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第</w:t>
      </w:r>
      <w:r>
        <w:rPr>
          <w:rFonts w:hint="eastAsia" w:ascii="楷体" w:hAnsi="楷体" w:eastAsia="楷体" w:cs="楷体"/>
          <w:color w:val="auto"/>
          <w:sz w:val="32"/>
          <w:szCs w:val="32"/>
          <w:highlight w:val="none"/>
          <w:lang w:val="en-US" w:eastAsia="zh-CN"/>
        </w:rPr>
        <w:t>三十七</w:t>
      </w:r>
      <w:r>
        <w:rPr>
          <w:rFonts w:hint="eastAsia" w:ascii="楷体" w:hAnsi="楷体" w:eastAsia="楷体" w:cs="楷体"/>
          <w:color w:val="auto"/>
          <w:sz w:val="32"/>
          <w:szCs w:val="32"/>
          <w:highlight w:val="none"/>
        </w:rPr>
        <w:t>条</w:t>
      </w:r>
      <w:r>
        <w:rPr>
          <w:rFonts w:hint="eastAsia" w:ascii="仿宋" w:hAnsi="仿宋" w:eastAsia="仿宋" w:cs="仿宋"/>
          <w:color w:val="auto"/>
          <w:sz w:val="32"/>
          <w:szCs w:val="32"/>
          <w:highlight w:val="none"/>
        </w:rPr>
        <w:t>  违反本</w:t>
      </w:r>
      <w:r>
        <w:rPr>
          <w:rFonts w:hint="eastAsia" w:ascii="仿宋" w:hAnsi="仿宋" w:eastAsia="仿宋" w:cs="仿宋"/>
          <w:color w:val="auto"/>
          <w:sz w:val="32"/>
          <w:szCs w:val="32"/>
          <w:highlight w:val="none"/>
          <w:lang w:val="en-US" w:eastAsia="zh-CN"/>
        </w:rPr>
        <w:t>办法</w:t>
      </w:r>
      <w:r>
        <w:rPr>
          <w:rFonts w:hint="eastAsia" w:ascii="仿宋" w:hAnsi="仿宋" w:eastAsia="仿宋" w:cs="仿宋"/>
          <w:color w:val="auto"/>
          <w:sz w:val="32"/>
          <w:szCs w:val="32"/>
          <w:highlight w:val="none"/>
        </w:rPr>
        <w:t>规定</w:t>
      </w:r>
      <w:r>
        <w:rPr>
          <w:rFonts w:hint="eastAsia" w:ascii="仿宋" w:hAnsi="仿宋" w:eastAsia="仿宋" w:cs="仿宋"/>
          <w:color w:val="auto"/>
          <w:sz w:val="32"/>
          <w:szCs w:val="32"/>
          <w:highlight w:val="none"/>
          <w:lang w:val="en-US" w:eastAsia="zh-CN"/>
        </w:rPr>
        <w:t>的，依据相关法律法规进行处罚。</w:t>
      </w:r>
      <w:r>
        <w:rPr>
          <w:rFonts w:hint="eastAsia" w:ascii="仿宋" w:hAnsi="仿宋" w:eastAsia="仿宋" w:cs="仿宋"/>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w:t>
      </w:r>
      <w:r>
        <w:rPr>
          <w:rFonts w:hint="eastAsia" w:ascii="楷体" w:hAnsi="楷体" w:eastAsia="楷体" w:cs="楷体"/>
          <w:sz w:val="32"/>
          <w:szCs w:val="32"/>
          <w:highlight w:val="none"/>
          <w:lang w:val="en-US" w:eastAsia="zh-CN"/>
        </w:rPr>
        <w:t>三十八</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本</w:t>
      </w:r>
      <w:r>
        <w:rPr>
          <w:rFonts w:hint="eastAsia" w:ascii="仿宋" w:hAnsi="仿宋" w:eastAsia="仿宋" w:cs="仿宋"/>
          <w:sz w:val="32"/>
          <w:szCs w:val="32"/>
          <w:highlight w:val="none"/>
          <w:lang w:val="en-US" w:eastAsia="zh-CN"/>
        </w:rPr>
        <w:t>办法</w:t>
      </w:r>
      <w:r>
        <w:rPr>
          <w:rFonts w:hint="eastAsia" w:ascii="仿宋" w:hAnsi="仿宋" w:eastAsia="仿宋" w:cs="仿宋"/>
          <w:sz w:val="32"/>
          <w:szCs w:val="32"/>
          <w:highlight w:val="none"/>
        </w:rPr>
        <w:t>所称城市绿地，包括公园绿地、防护绿地、</w:t>
      </w:r>
      <w:r>
        <w:rPr>
          <w:rFonts w:hint="eastAsia" w:ascii="仿宋" w:hAnsi="仿宋" w:eastAsia="仿宋" w:cs="仿宋"/>
          <w:sz w:val="32"/>
          <w:szCs w:val="32"/>
          <w:highlight w:val="none"/>
          <w:lang w:eastAsia="zh-CN"/>
        </w:rPr>
        <w:t>广场</w:t>
      </w:r>
      <w:r>
        <w:rPr>
          <w:rFonts w:hint="eastAsia" w:ascii="仿宋" w:hAnsi="仿宋" w:eastAsia="仿宋" w:cs="仿宋"/>
          <w:sz w:val="32"/>
          <w:szCs w:val="32"/>
          <w:highlight w:val="none"/>
          <w:lang w:val="en-US" w:eastAsia="zh-CN"/>
        </w:rPr>
        <w:t>用地</w:t>
      </w:r>
      <w:r>
        <w:rPr>
          <w:rFonts w:hint="eastAsia" w:ascii="仿宋" w:hAnsi="仿宋" w:eastAsia="仿宋" w:cs="仿宋"/>
          <w:sz w:val="32"/>
          <w:szCs w:val="32"/>
          <w:highlight w:val="none"/>
          <w:lang w:eastAsia="zh-CN"/>
        </w:rPr>
        <w:t>、附属绿地</w:t>
      </w:r>
      <w:r>
        <w:rPr>
          <w:rFonts w:hint="eastAsia" w:ascii="仿宋" w:hAnsi="仿宋" w:eastAsia="仿宋" w:cs="仿宋"/>
          <w:sz w:val="32"/>
          <w:szCs w:val="32"/>
          <w:highlight w:val="none"/>
        </w:rPr>
        <w:t>及</w:t>
      </w:r>
      <w:r>
        <w:rPr>
          <w:rFonts w:hint="eastAsia" w:ascii="仿宋" w:hAnsi="仿宋" w:eastAsia="仿宋" w:cs="仿宋"/>
          <w:sz w:val="32"/>
          <w:szCs w:val="32"/>
          <w:highlight w:val="none"/>
          <w:lang w:eastAsia="zh-CN"/>
        </w:rPr>
        <w:t>区域</w:t>
      </w:r>
      <w:r>
        <w:rPr>
          <w:rFonts w:hint="eastAsia" w:ascii="仿宋" w:hAnsi="仿宋" w:eastAsia="仿宋" w:cs="仿宋"/>
          <w:sz w:val="32"/>
          <w:szCs w:val="32"/>
          <w:highlight w:val="none"/>
        </w:rPr>
        <w:t xml:space="preserve">绿地。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办法</w:t>
      </w:r>
      <w:r>
        <w:rPr>
          <w:rFonts w:hint="eastAsia" w:ascii="仿宋" w:hAnsi="仿宋" w:eastAsia="仿宋" w:cs="仿宋"/>
          <w:sz w:val="32"/>
          <w:szCs w:val="32"/>
          <w:highlight w:val="none"/>
        </w:rPr>
        <w:t xml:space="preserve">所称城市绿化设施，包括亭、廊、花架、喷泉、假山、石桌、石凳、护栏、围墙、园路、雕塑、雕刻以及其他景观建筑。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楷体" w:hAnsi="楷体" w:eastAsia="楷体" w:cs="楷体"/>
          <w:sz w:val="32"/>
          <w:szCs w:val="32"/>
          <w:highlight w:val="none"/>
        </w:rPr>
        <w:t>第</w:t>
      </w:r>
      <w:r>
        <w:rPr>
          <w:rFonts w:hint="eastAsia" w:ascii="楷体" w:hAnsi="楷体" w:eastAsia="楷体" w:cs="楷体"/>
          <w:sz w:val="32"/>
          <w:szCs w:val="32"/>
          <w:highlight w:val="none"/>
          <w:lang w:val="en-US" w:eastAsia="zh-CN"/>
        </w:rPr>
        <w:t>三十九</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对古树名木的保护和管理依照</w:t>
      </w:r>
      <w:r>
        <w:rPr>
          <w:rFonts w:hint="eastAsia" w:ascii="仿宋" w:hAnsi="仿宋" w:eastAsia="仿宋" w:cs="仿宋"/>
          <w:sz w:val="32"/>
          <w:szCs w:val="32"/>
          <w:highlight w:val="none"/>
          <w:lang w:val="en-US" w:eastAsia="zh-CN"/>
        </w:rPr>
        <w:t>《城市古树名木保护管理办法》、《山西省城市古树名木和城市大树</w:t>
      </w:r>
      <w:r>
        <w:rPr>
          <w:rFonts w:hint="default" w:ascii="仿宋" w:hAnsi="仿宋" w:eastAsia="仿宋" w:cs="仿宋"/>
          <w:sz w:val="32"/>
          <w:szCs w:val="32"/>
          <w:highlight w:val="none"/>
          <w:lang w:val="en-US" w:eastAsia="zh-CN"/>
        </w:rPr>
        <w:t>保护管理办法</w:t>
      </w:r>
      <w:r>
        <w:rPr>
          <w:rFonts w:hint="eastAsia" w:ascii="仿宋" w:hAnsi="仿宋" w:eastAsia="仿宋" w:cs="仿宋"/>
          <w:sz w:val="32"/>
          <w:szCs w:val="32"/>
          <w:highlight w:val="none"/>
          <w:lang w:val="en-US" w:eastAsia="zh-CN"/>
        </w:rPr>
        <w:t>》（2022年7月22日发布实施）的规定执行</w:t>
      </w:r>
      <w:r>
        <w:rPr>
          <w:rFonts w:hint="eastAsia" w:ascii="仿宋" w:hAnsi="仿宋" w:eastAsia="仿宋" w:cs="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rPr>
      </w:pPr>
      <w:r>
        <w:rPr>
          <w:rFonts w:hint="eastAsia" w:ascii="楷体" w:hAnsi="楷体" w:eastAsia="楷体" w:cs="楷体"/>
          <w:sz w:val="32"/>
          <w:szCs w:val="32"/>
          <w:highlight w:val="none"/>
        </w:rPr>
        <w:t>第</w:t>
      </w:r>
      <w:r>
        <w:rPr>
          <w:rFonts w:hint="eastAsia" w:ascii="楷体" w:hAnsi="楷体" w:eastAsia="楷体" w:cs="楷体"/>
          <w:sz w:val="32"/>
          <w:szCs w:val="32"/>
          <w:highlight w:val="none"/>
          <w:lang w:val="en-US" w:eastAsia="zh-CN"/>
        </w:rPr>
        <w:t>四十</w:t>
      </w:r>
      <w:r>
        <w:rPr>
          <w:rFonts w:hint="eastAsia" w:ascii="楷体" w:hAnsi="楷体" w:eastAsia="楷体" w:cs="楷体"/>
          <w:sz w:val="32"/>
          <w:szCs w:val="32"/>
          <w:highlight w:val="none"/>
        </w:rPr>
        <w:t>条</w:t>
      </w:r>
      <w:r>
        <w:rPr>
          <w:rFonts w:hint="eastAsia" w:ascii="仿宋" w:hAnsi="仿宋" w:eastAsia="仿宋" w:cs="仿宋"/>
          <w:sz w:val="32"/>
          <w:szCs w:val="32"/>
          <w:highlight w:val="none"/>
        </w:rPr>
        <w:t>  本</w:t>
      </w:r>
      <w:r>
        <w:rPr>
          <w:rFonts w:hint="eastAsia" w:ascii="仿宋" w:hAnsi="仿宋" w:eastAsia="仿宋" w:cs="仿宋"/>
          <w:sz w:val="32"/>
          <w:szCs w:val="32"/>
          <w:highlight w:val="none"/>
          <w:lang w:eastAsia="zh-CN"/>
        </w:rPr>
        <w:t>办法</w:t>
      </w:r>
      <w:r>
        <w:rPr>
          <w:rFonts w:hint="eastAsia" w:ascii="仿宋" w:hAnsi="仿宋" w:eastAsia="仿宋" w:cs="仿宋"/>
          <w:sz w:val="32"/>
          <w:szCs w:val="32"/>
          <w:highlight w:val="none"/>
        </w:rPr>
        <w:t>自</w:t>
      </w:r>
      <w:r>
        <w:rPr>
          <w:rFonts w:hint="eastAsia" w:ascii="仿宋" w:hAnsi="仿宋" w:eastAsia="仿宋" w:cs="仿宋"/>
          <w:sz w:val="32"/>
          <w:szCs w:val="32"/>
          <w:highlight w:val="none"/>
          <w:lang w:val="en-US" w:eastAsia="zh-CN"/>
        </w:rPr>
        <w:t>2023年5月18日</w:t>
      </w:r>
      <w:r>
        <w:rPr>
          <w:rFonts w:hint="eastAsia" w:ascii="仿宋" w:hAnsi="仿宋" w:eastAsia="仿宋" w:cs="仿宋"/>
          <w:sz w:val="32"/>
          <w:szCs w:val="32"/>
          <w:highlight w:val="none"/>
        </w:rPr>
        <w:t>起施行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有效期五年，原2012年颁布的《临汾市城市绿化管理办法》（临政办发</w:t>
      </w:r>
      <w:r>
        <w:rPr>
          <w:rFonts w:hint="eastAsia" w:ascii="仿宋_GB2312" w:hAnsi="仿宋_GB2312" w:eastAsia="仿宋_GB2312" w:cs="仿宋_GB2312"/>
          <w:color w:val="auto"/>
          <w:sz w:val="32"/>
          <w:szCs w:val="32"/>
          <w:lang w:val="en-US" w:eastAsia="zh-CN"/>
        </w:rPr>
        <w:t>〔2012〕</w:t>
      </w:r>
      <w:r>
        <w:rPr>
          <w:rFonts w:hint="eastAsia" w:ascii="仿宋" w:hAnsi="仿宋" w:eastAsia="仿宋" w:cs="仿宋"/>
          <w:sz w:val="32"/>
          <w:szCs w:val="32"/>
          <w:highlight w:val="none"/>
          <w:lang w:val="en-US" w:eastAsia="zh-CN"/>
        </w:rPr>
        <w:t>64号）同时废止。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YTQ2ZDE4Yjg5MGE3ZDM1NjdhZGNmZjUzYzA3OGIifQ=="/>
  </w:docVars>
  <w:rsids>
    <w:rsidRoot w:val="00000000"/>
    <w:rsid w:val="00A55897"/>
    <w:rsid w:val="00F76805"/>
    <w:rsid w:val="0104303E"/>
    <w:rsid w:val="01BD2338"/>
    <w:rsid w:val="04166B3C"/>
    <w:rsid w:val="0438160E"/>
    <w:rsid w:val="045B52FD"/>
    <w:rsid w:val="0526423E"/>
    <w:rsid w:val="08AF5C17"/>
    <w:rsid w:val="09497E1A"/>
    <w:rsid w:val="0AB82C85"/>
    <w:rsid w:val="0D177805"/>
    <w:rsid w:val="0D2C1757"/>
    <w:rsid w:val="0FE80E01"/>
    <w:rsid w:val="112018B1"/>
    <w:rsid w:val="11B9690A"/>
    <w:rsid w:val="12895543"/>
    <w:rsid w:val="135E7918"/>
    <w:rsid w:val="19E52827"/>
    <w:rsid w:val="1A1E49AB"/>
    <w:rsid w:val="1A5A3EB7"/>
    <w:rsid w:val="1C871B79"/>
    <w:rsid w:val="1E4F64E0"/>
    <w:rsid w:val="208806EA"/>
    <w:rsid w:val="24C3687B"/>
    <w:rsid w:val="28E54EDC"/>
    <w:rsid w:val="29342134"/>
    <w:rsid w:val="2CB74F17"/>
    <w:rsid w:val="2D935D7C"/>
    <w:rsid w:val="2DDA3CA4"/>
    <w:rsid w:val="2E25296D"/>
    <w:rsid w:val="2E6F56DE"/>
    <w:rsid w:val="2E7D2606"/>
    <w:rsid w:val="2F302D5E"/>
    <w:rsid w:val="305E24E2"/>
    <w:rsid w:val="32EB4261"/>
    <w:rsid w:val="342F305C"/>
    <w:rsid w:val="39D20596"/>
    <w:rsid w:val="3A6427F3"/>
    <w:rsid w:val="3EF41BD1"/>
    <w:rsid w:val="40716A35"/>
    <w:rsid w:val="40C1415E"/>
    <w:rsid w:val="41A25D3E"/>
    <w:rsid w:val="459A6286"/>
    <w:rsid w:val="49437E06"/>
    <w:rsid w:val="4B6D0DA1"/>
    <w:rsid w:val="4DC4703C"/>
    <w:rsid w:val="4DE638C5"/>
    <w:rsid w:val="4FBD7538"/>
    <w:rsid w:val="506411E8"/>
    <w:rsid w:val="514E2794"/>
    <w:rsid w:val="52994FF0"/>
    <w:rsid w:val="54A379AB"/>
    <w:rsid w:val="566E7288"/>
    <w:rsid w:val="58A23159"/>
    <w:rsid w:val="59E13ECD"/>
    <w:rsid w:val="5BBC5B65"/>
    <w:rsid w:val="5C60377A"/>
    <w:rsid w:val="5E643C1D"/>
    <w:rsid w:val="6017749F"/>
    <w:rsid w:val="60623D84"/>
    <w:rsid w:val="61253B5B"/>
    <w:rsid w:val="62BB6D0C"/>
    <w:rsid w:val="674F63BC"/>
    <w:rsid w:val="6A004D0A"/>
    <w:rsid w:val="6A17677B"/>
    <w:rsid w:val="6B05793F"/>
    <w:rsid w:val="6B0A1475"/>
    <w:rsid w:val="6B971DB3"/>
    <w:rsid w:val="6CEC6CC5"/>
    <w:rsid w:val="6D3B2A1F"/>
    <w:rsid w:val="6D760F26"/>
    <w:rsid w:val="6E4A58C8"/>
    <w:rsid w:val="6EE82732"/>
    <w:rsid w:val="6F777015"/>
    <w:rsid w:val="70AD3C34"/>
    <w:rsid w:val="7128128D"/>
    <w:rsid w:val="72F87A2A"/>
    <w:rsid w:val="75A65F61"/>
    <w:rsid w:val="75FC6AC3"/>
    <w:rsid w:val="76054E3F"/>
    <w:rsid w:val="76A65E23"/>
    <w:rsid w:val="776439EA"/>
    <w:rsid w:val="78345BEF"/>
    <w:rsid w:val="786A1BD1"/>
    <w:rsid w:val="79B8251E"/>
    <w:rsid w:val="7A3C7DD6"/>
    <w:rsid w:val="7C055E75"/>
    <w:rsid w:val="7D874B49"/>
    <w:rsid w:val="7E65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4046</Words>
  <Characters>4081</Characters>
  <Lines>0</Lines>
  <Paragraphs>0</Paragraphs>
  <TotalTime>3</TotalTime>
  <ScaleCrop>false</ScaleCrop>
  <LinksUpToDate>false</LinksUpToDate>
  <CharactersWithSpaces>4297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2022-08-03T01:07:00Z</dcterms:created>
  <dc:creator>Administrator</dc:creator>
  <cp:lastModifiedBy>Administrator</cp:lastModifiedBy>
  <cp:lastPrinted>2023-04-11T09:52:00Z</cp:lastPrinted>
  <dcterms:modified xsi:type="dcterms:W3CDTF">2023-05-04T03:47:20Z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AED1429376334218AFBBB411D0066F30_13</vt:lpwstr>
  </property>
</Properties>
</file>